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B30" w:rsidRPr="00AC4B30" w:rsidRDefault="00AC4B30" w:rsidP="00AC4B30">
      <w:pPr>
        <w:spacing w:before="0" w:beforeAutospacing="0" w:after="0" w:afterAutospacing="0" w:line="240" w:lineRule="auto"/>
        <w:jc w:val="center"/>
        <w:outlineLvl w:val="3"/>
        <w:rPr>
          <w:rFonts w:ascii="inherit" w:eastAsia="Times New Roman" w:hAnsi="inherit" w:cs="Helvetica"/>
          <w:color w:val="333333"/>
          <w:sz w:val="27"/>
          <w:szCs w:val="27"/>
          <w:lang w:eastAsia="tr-TR"/>
        </w:rPr>
      </w:pPr>
      <w:r w:rsidRPr="00AC4B30">
        <w:rPr>
          <w:rFonts w:ascii="inherit" w:eastAsia="Times New Roman" w:hAnsi="inherit" w:cs="Helvetica"/>
          <w:color w:val="333333"/>
          <w:sz w:val="27"/>
          <w:szCs w:val="27"/>
          <w:lang w:eastAsia="tr-TR"/>
        </w:rPr>
        <w:t>AÇIKLAMALAR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center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b/>
          <w:bCs/>
          <w:color w:val="333333"/>
          <w:sz w:val="20"/>
          <w:szCs w:val="20"/>
          <w:lang w:eastAsia="tr-TR"/>
        </w:rPr>
        <w:t>TÜRKİYE KALKINMA BANKASI A.Ş.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center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b/>
          <w:bCs/>
          <w:color w:val="333333"/>
          <w:sz w:val="20"/>
          <w:szCs w:val="20"/>
          <w:lang w:eastAsia="tr-TR"/>
        </w:rPr>
        <w:t>CAZİBE MERKEZLERİ PROGRAMI KAPSAMINDA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center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b/>
          <w:bCs/>
          <w:color w:val="333333"/>
          <w:sz w:val="20"/>
          <w:szCs w:val="20"/>
          <w:lang w:eastAsia="tr-TR"/>
        </w:rPr>
        <w:t>YAPILACAK BAŞVURU SÜRECİNE İLİŞKİN AÇIKLAMA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center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b/>
          <w:bCs/>
          <w:color w:val="333333"/>
          <w:sz w:val="16"/>
          <w:szCs w:val="16"/>
          <w:lang w:eastAsia="tr-TR"/>
        </w:rPr>
        <w:t> 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center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b/>
          <w:bCs/>
          <w:color w:val="333333"/>
          <w:sz w:val="16"/>
          <w:szCs w:val="16"/>
          <w:lang w:eastAsia="tr-TR"/>
        </w:rPr>
        <w:t>1. BAŞVURU ÇAĞRI DÖNEMİ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7"/>
        <w:gridCol w:w="1910"/>
      </w:tblGrid>
      <w:tr w:rsidR="00AC4B30" w:rsidRPr="00AC4B30" w:rsidTr="00AC4B30">
        <w:trPr>
          <w:jc w:val="center"/>
        </w:trPr>
        <w:tc>
          <w:tcPr>
            <w:tcW w:w="2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B30" w:rsidRPr="00AC4B30" w:rsidRDefault="00AC4B30" w:rsidP="00AC4B30">
            <w:pPr>
              <w:spacing w:before="0" w:beforeAutospacing="0" w:after="160" w:afterAutospacing="0" w:line="235" w:lineRule="atLeast"/>
              <w:jc w:val="center"/>
              <w:rPr>
                <w:rFonts w:eastAsia="Times New Roman" w:cs="Times New Roman"/>
                <w:sz w:val="22"/>
                <w:lang w:eastAsia="tr-TR"/>
              </w:rPr>
            </w:pPr>
            <w:r w:rsidRPr="00AC4B30">
              <w:rPr>
                <w:rFonts w:eastAsia="Times New Roman" w:cs="Times New Roman"/>
                <w:b/>
                <w:bCs/>
                <w:color w:val="333333"/>
                <w:szCs w:val="24"/>
                <w:lang w:eastAsia="tr-TR"/>
              </w:rPr>
              <w:t>Başlangıç Tarihi</w:t>
            </w:r>
          </w:p>
        </w:tc>
        <w:tc>
          <w:tcPr>
            <w:tcW w:w="1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B30" w:rsidRPr="00AC4B30" w:rsidRDefault="00AC4B30" w:rsidP="00AC4B30">
            <w:pPr>
              <w:spacing w:before="0" w:beforeAutospacing="0" w:after="160" w:afterAutospacing="0" w:line="235" w:lineRule="atLeast"/>
              <w:jc w:val="center"/>
              <w:rPr>
                <w:rFonts w:eastAsia="Times New Roman" w:cs="Times New Roman"/>
                <w:sz w:val="22"/>
                <w:lang w:eastAsia="tr-TR"/>
              </w:rPr>
            </w:pPr>
            <w:r w:rsidRPr="00AC4B30">
              <w:rPr>
                <w:rFonts w:eastAsia="Times New Roman" w:cs="Times New Roman"/>
                <w:b/>
                <w:bCs/>
                <w:color w:val="333333"/>
                <w:szCs w:val="24"/>
                <w:lang w:eastAsia="tr-TR"/>
              </w:rPr>
              <w:t>Bitiş Tarihi</w:t>
            </w:r>
          </w:p>
        </w:tc>
      </w:tr>
      <w:tr w:rsidR="00AC4B30" w:rsidRPr="00AC4B30" w:rsidTr="00AC4B30">
        <w:trPr>
          <w:jc w:val="center"/>
        </w:trPr>
        <w:tc>
          <w:tcPr>
            <w:tcW w:w="2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B30" w:rsidRPr="00AC4B30" w:rsidRDefault="00AC4B30" w:rsidP="00AC4B30">
            <w:pPr>
              <w:spacing w:before="0" w:beforeAutospacing="0" w:after="160" w:afterAutospacing="0" w:line="235" w:lineRule="atLeast"/>
              <w:jc w:val="center"/>
              <w:rPr>
                <w:rFonts w:eastAsia="Times New Roman" w:cs="Times New Roman"/>
                <w:sz w:val="22"/>
                <w:lang w:eastAsia="tr-TR"/>
              </w:rPr>
            </w:pPr>
            <w:r w:rsidRPr="00AC4B30">
              <w:rPr>
                <w:rFonts w:eastAsia="Times New Roman" w:cs="Times New Roman"/>
                <w:b/>
                <w:bCs/>
                <w:color w:val="333333"/>
                <w:szCs w:val="24"/>
                <w:lang w:eastAsia="tr-TR"/>
              </w:rPr>
              <w:t>24 / 01 / 2017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B30" w:rsidRPr="00AC4B30" w:rsidRDefault="00AC4B30" w:rsidP="00AC4B30">
            <w:pPr>
              <w:spacing w:before="0" w:beforeAutospacing="0" w:after="160" w:afterAutospacing="0" w:line="235" w:lineRule="atLeast"/>
              <w:jc w:val="center"/>
              <w:rPr>
                <w:rFonts w:eastAsia="Times New Roman" w:cs="Times New Roman"/>
                <w:sz w:val="22"/>
                <w:lang w:eastAsia="tr-TR"/>
              </w:rPr>
            </w:pPr>
            <w:r w:rsidRPr="00AC4B30">
              <w:rPr>
                <w:rFonts w:eastAsia="Times New Roman" w:cs="Times New Roman"/>
                <w:b/>
                <w:bCs/>
                <w:color w:val="333333"/>
                <w:szCs w:val="24"/>
                <w:lang w:eastAsia="tr-TR"/>
              </w:rPr>
              <w:t>27 / 02 / 2017</w:t>
            </w:r>
          </w:p>
        </w:tc>
      </w:tr>
    </w:tbl>
    <w:p w:rsidR="00AC4B30" w:rsidRPr="00AC4B30" w:rsidRDefault="00AC4B30" w:rsidP="00AC4B30">
      <w:pPr>
        <w:spacing w:before="0" w:beforeAutospacing="0" w:after="160" w:afterAutospacing="0" w:line="235" w:lineRule="atLeast"/>
        <w:jc w:val="center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b/>
          <w:bCs/>
          <w:color w:val="333333"/>
          <w:sz w:val="16"/>
          <w:szCs w:val="16"/>
          <w:lang w:eastAsia="tr-TR"/>
        </w:rPr>
        <w:t> 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 xml:space="preserve">Bankaya yapılacak başvuruların incelenebilmesi, başvurunun Bakanlar Kurulu’ </w:t>
      </w:r>
      <w:proofErr w:type="spellStart"/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nun</w:t>
      </w:r>
      <w:proofErr w:type="spellEnd"/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 xml:space="preserve"> 28.11.2016 tarih ve 2016/9596 sayılı “Cazibe Merkezleri Programının Uygulanmasına İlişkin Usul Ve Esaslar Hakkında </w:t>
      </w:r>
      <w:proofErr w:type="spellStart"/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Karar”ına</w:t>
      </w:r>
      <w:proofErr w:type="spellEnd"/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 xml:space="preserve"> uygun olması ön şartına bağlı bulunmaktadır.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16"/>
          <w:szCs w:val="16"/>
          <w:lang w:eastAsia="tr-TR"/>
        </w:rPr>
        <w:t> 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Talebinizin incelenebilmesi için ekte yer alan formların doldurularak istenilen bilgilerle birlikte yatırımcı firma yetkililerince,</w:t>
      </w:r>
    </w:p>
    <w:p w:rsidR="00AC4B30" w:rsidRPr="00AC4B30" w:rsidRDefault="00AC4B30" w:rsidP="00AC4B30">
      <w:pPr>
        <w:spacing w:before="0" w:beforeAutospacing="0" w:after="150" w:afterAutospacing="0" w:line="240" w:lineRule="auto"/>
        <w:jc w:val="left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AC4B30">
        <w:rPr>
          <w:rFonts w:ascii="Symbol" w:eastAsia="Times New Roman" w:hAnsi="Symbol" w:cs="Helvetica"/>
          <w:color w:val="333333"/>
          <w:sz w:val="20"/>
          <w:szCs w:val="20"/>
          <w:lang w:eastAsia="tr-TR"/>
        </w:rPr>
        <w:t></w:t>
      </w:r>
      <w:r w:rsidRPr="00AC4B30">
        <w:rPr>
          <w:rFonts w:eastAsia="Times New Roman" w:cs="Times New Roman"/>
          <w:color w:val="333333"/>
          <w:sz w:val="14"/>
          <w:szCs w:val="14"/>
          <w:lang w:eastAsia="tr-TR"/>
        </w:rPr>
        <w:t>        </w:t>
      </w: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Bankaya veya</w:t>
      </w:r>
    </w:p>
    <w:p w:rsidR="00AC4B30" w:rsidRPr="00AC4B30" w:rsidRDefault="00AC4B30" w:rsidP="00AC4B30">
      <w:pPr>
        <w:spacing w:before="0" w:beforeAutospacing="0" w:after="150" w:afterAutospacing="0" w:line="240" w:lineRule="auto"/>
        <w:jc w:val="left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AC4B30">
        <w:rPr>
          <w:rFonts w:ascii="Symbol" w:eastAsia="Times New Roman" w:hAnsi="Symbol" w:cs="Helvetica"/>
          <w:color w:val="333333"/>
          <w:sz w:val="20"/>
          <w:szCs w:val="20"/>
          <w:lang w:eastAsia="tr-TR"/>
        </w:rPr>
        <w:t></w:t>
      </w:r>
      <w:r w:rsidRPr="00AC4B30">
        <w:rPr>
          <w:rFonts w:eastAsia="Times New Roman" w:cs="Times New Roman"/>
          <w:color w:val="333333"/>
          <w:sz w:val="14"/>
          <w:szCs w:val="14"/>
          <w:lang w:eastAsia="tr-TR"/>
        </w:rPr>
        <w:t>        </w:t>
      </w: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Bankaya iletilmek üzere Kalkınma Ajansları Yatırım Destek Ofislerine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 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hyperlink r:id="rId5" w:history="1">
        <w:r w:rsidRPr="00AC4B30">
          <w:rPr>
            <w:rFonts w:eastAsia="Times New Roman" w:cs="Times New Roman"/>
            <w:color w:val="337AB7"/>
            <w:sz w:val="20"/>
            <w:szCs w:val="20"/>
            <w:lang w:eastAsia="tr-TR"/>
          </w:rPr>
          <w:t>“CMP Kapsamında Başvuru Teslim-Tesellüm Belgesi”</w:t>
        </w:r>
      </w:hyperlink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 imzalanmak suretiyle teslim edilmesi gerekmektedir.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16"/>
          <w:szCs w:val="16"/>
          <w:lang w:eastAsia="tr-TR"/>
        </w:rPr>
        <w:t> 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Değerlendirilme aşamasında; ilgili birimce ilâve bilgi ve belgeler ayrıca talep edilebilecektir. </w:t>
      </w:r>
      <w:r w:rsidRPr="00AC4B30">
        <w:rPr>
          <w:rFonts w:eastAsia="Times New Roman" w:cs="Times New Roman"/>
          <w:b/>
          <w:bCs/>
          <w:color w:val="333333"/>
          <w:sz w:val="20"/>
          <w:szCs w:val="20"/>
          <w:u w:val="single"/>
          <w:lang w:eastAsia="tr-TR"/>
        </w:rPr>
        <w:t xml:space="preserve">Yapılacak değerlendirmenin Bankanın değerlendirme </w:t>
      </w:r>
      <w:proofErr w:type="gramStart"/>
      <w:r w:rsidRPr="00AC4B30">
        <w:rPr>
          <w:rFonts w:eastAsia="Times New Roman" w:cs="Times New Roman"/>
          <w:b/>
          <w:bCs/>
          <w:color w:val="333333"/>
          <w:sz w:val="20"/>
          <w:szCs w:val="20"/>
          <w:u w:val="single"/>
          <w:lang w:eastAsia="tr-TR"/>
        </w:rPr>
        <w:t>kriterlerine</w:t>
      </w:r>
      <w:proofErr w:type="gramEnd"/>
      <w:r w:rsidRPr="00AC4B30">
        <w:rPr>
          <w:rFonts w:eastAsia="Times New Roman" w:cs="Times New Roman"/>
          <w:b/>
          <w:bCs/>
          <w:color w:val="333333"/>
          <w:sz w:val="20"/>
          <w:szCs w:val="20"/>
          <w:u w:val="single"/>
          <w:lang w:eastAsia="tr-TR"/>
        </w:rPr>
        <w:t xml:space="preserve"> uygun sonuç vermesi sonrasında</w:t>
      </w: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 </w:t>
      </w:r>
      <w:r w:rsidRPr="00AC4B30">
        <w:rPr>
          <w:rFonts w:eastAsia="Times New Roman" w:cs="Times New Roman"/>
          <w:b/>
          <w:bCs/>
          <w:color w:val="333333"/>
          <w:sz w:val="20"/>
          <w:szCs w:val="20"/>
          <w:lang w:eastAsia="tr-TR"/>
        </w:rPr>
        <w:t>projenizin ilgili Kararname kapsamındaki desteklerden yararlanıp yararlanamayacağı hususu karara bağlanacaktır</w:t>
      </w: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.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center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16"/>
          <w:szCs w:val="16"/>
          <w:lang w:eastAsia="tr-TR"/>
        </w:rPr>
        <w:t> 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20"/>
          <w:szCs w:val="20"/>
          <w:lang w:eastAsia="tr-TR"/>
        </w:rPr>
        <w:t>Bilgilerinizi rica ederiz. 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color w:val="333333"/>
          <w:sz w:val="16"/>
          <w:szCs w:val="16"/>
          <w:lang w:eastAsia="tr-TR"/>
        </w:rPr>
        <w:t> 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b/>
          <w:bCs/>
          <w:color w:val="FF0000"/>
          <w:sz w:val="22"/>
          <w:lang w:eastAsia="tr-TR"/>
        </w:rPr>
        <w:t>NOT 1: Başvuru dosyası istenilen bütün belgeleri içerecek şekilde düzenlenecektir. Tüm evrakların yatırımcıyı temsil ve ilzama yetkili kişiler tarafından mavi kalemle imzalanması gerekmektedir.</w:t>
      </w:r>
    </w:p>
    <w:p w:rsidR="00AC4B30" w:rsidRPr="00AC4B30" w:rsidRDefault="00AC4B30" w:rsidP="00AC4B30">
      <w:pPr>
        <w:spacing w:before="0" w:beforeAutospacing="0" w:after="160" w:afterAutospacing="0" w:line="235" w:lineRule="atLeast"/>
        <w:jc w:val="left"/>
        <w:rPr>
          <w:rFonts w:eastAsia="Times New Roman" w:cs="Times New Roman"/>
          <w:color w:val="333333"/>
          <w:sz w:val="22"/>
          <w:lang w:eastAsia="tr-TR"/>
        </w:rPr>
      </w:pPr>
      <w:r w:rsidRPr="00AC4B30">
        <w:rPr>
          <w:rFonts w:eastAsia="Times New Roman" w:cs="Times New Roman"/>
          <w:b/>
          <w:bCs/>
          <w:color w:val="FF0000"/>
          <w:sz w:val="22"/>
          <w:lang w:eastAsia="tr-TR"/>
        </w:rPr>
        <w:t>NOT 2: Belgelerden, zorunlu olanların eksik bulunması halinde </w:t>
      </w:r>
      <w:r w:rsidRPr="00AC4B30">
        <w:rPr>
          <w:rFonts w:eastAsia="Times New Roman" w:cs="Times New Roman"/>
          <w:b/>
          <w:bCs/>
          <w:color w:val="FF0000"/>
          <w:sz w:val="22"/>
          <w:u w:val="single"/>
          <w:lang w:eastAsia="tr-TR"/>
        </w:rPr>
        <w:t>başvuru süresi sonuna kadar</w:t>
      </w:r>
      <w:r w:rsidRPr="00AC4B30">
        <w:rPr>
          <w:rFonts w:eastAsia="Times New Roman" w:cs="Times New Roman"/>
          <w:b/>
          <w:bCs/>
          <w:color w:val="FF0000"/>
          <w:sz w:val="22"/>
          <w:lang w:eastAsia="tr-TR"/>
        </w:rPr>
        <w:t> tamamlanması gerekmektedir. Eksik belgelerin belirtilen sürenin sonuna kadar tamamlanmaması ve Bankaya ulaştırılmaması durumunda </w:t>
      </w:r>
      <w:r w:rsidRPr="00AC4B30">
        <w:rPr>
          <w:rFonts w:eastAsia="Times New Roman" w:cs="Times New Roman"/>
          <w:b/>
          <w:bCs/>
          <w:color w:val="FF0000"/>
          <w:sz w:val="22"/>
          <w:u w:val="single"/>
          <w:lang w:eastAsia="tr-TR"/>
        </w:rPr>
        <w:t>başvuru işlemden kaldırılacaktır.</w:t>
      </w:r>
    </w:p>
    <w:p w:rsidR="00C112A4" w:rsidRDefault="00AC4B30">
      <w:bookmarkStart w:id="0" w:name="_GoBack"/>
      <w:bookmarkEnd w:id="0"/>
    </w:p>
    <w:sectPr w:rsidR="00C112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39"/>
    <w:rsid w:val="000852E0"/>
    <w:rsid w:val="00103AF2"/>
    <w:rsid w:val="00141931"/>
    <w:rsid w:val="004D7139"/>
    <w:rsid w:val="006334F5"/>
    <w:rsid w:val="006602BF"/>
    <w:rsid w:val="00AC4B30"/>
    <w:rsid w:val="00E8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link w:val="Balk4Char"/>
    <w:uiPriority w:val="9"/>
    <w:qFormat/>
    <w:rsid w:val="00AC4B30"/>
    <w:pPr>
      <w:spacing w:line="240" w:lineRule="auto"/>
      <w:jc w:val="left"/>
      <w:outlineLvl w:val="3"/>
    </w:pPr>
    <w:rPr>
      <w:rFonts w:eastAsia="Times New Roman" w:cs="Times New Roman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AC4B30"/>
    <w:rPr>
      <w:rFonts w:eastAsia="Times New Roman" w:cs="Times New Roman"/>
      <w:b/>
      <w:bCs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C4B30"/>
  </w:style>
  <w:style w:type="paragraph" w:styleId="ListeParagraf">
    <w:name w:val="List Paragraph"/>
    <w:basedOn w:val="Normal"/>
    <w:uiPriority w:val="34"/>
    <w:qFormat/>
    <w:rsid w:val="00AC4B30"/>
    <w:pPr>
      <w:spacing w:line="240" w:lineRule="auto"/>
      <w:jc w:val="left"/>
    </w:pPr>
    <w:rPr>
      <w:rFonts w:eastAsia="Times New Roman" w:cs="Times New Roman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C4B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link w:val="Balk4Char"/>
    <w:uiPriority w:val="9"/>
    <w:qFormat/>
    <w:rsid w:val="00AC4B30"/>
    <w:pPr>
      <w:spacing w:line="240" w:lineRule="auto"/>
      <w:jc w:val="left"/>
      <w:outlineLvl w:val="3"/>
    </w:pPr>
    <w:rPr>
      <w:rFonts w:eastAsia="Times New Roman" w:cs="Times New Roman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AC4B30"/>
    <w:rPr>
      <w:rFonts w:eastAsia="Times New Roman" w:cs="Times New Roman"/>
      <w:b/>
      <w:bCs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C4B30"/>
  </w:style>
  <w:style w:type="paragraph" w:styleId="ListeParagraf">
    <w:name w:val="List Paragraph"/>
    <w:basedOn w:val="Normal"/>
    <w:uiPriority w:val="34"/>
    <w:qFormat/>
    <w:rsid w:val="00AC4B30"/>
    <w:pPr>
      <w:spacing w:line="240" w:lineRule="auto"/>
      <w:jc w:val="left"/>
    </w:pPr>
    <w:rPr>
      <w:rFonts w:eastAsia="Times New Roman" w:cs="Times New Roman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C4B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  <w:div w:id="1878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asvuru.kalkinma.com.tr/Files/Genel/CMP_KAPSAMINDA_BASVURU_TESLIM_TESELLUM_BELGESI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Musa ERDAL</dc:creator>
  <cp:keywords/>
  <dc:description/>
  <cp:lastModifiedBy>Musa ERDAL</cp:lastModifiedBy>
  <cp:revision>2</cp:revision>
  <dcterms:created xsi:type="dcterms:W3CDTF">2017-01-24T08:57:00Z</dcterms:created>
  <dcterms:modified xsi:type="dcterms:W3CDTF">2017-01-24T08:57:00Z</dcterms:modified>
</cp:coreProperties>
</file>